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黑体" w:eastAsia="黑体"/>
          <w:color w:val="FF0000"/>
          <w:sz w:val="72"/>
          <w:szCs w:val="72"/>
        </w:rPr>
      </w:pPr>
      <w:permStart w:id="0" w:edGrp="everyone"/>
      <w:permEnd w:id="0"/>
      <w:bookmarkStart w:id="0" w:name="OLE_LINK1"/>
      <w:r>
        <w:rPr>
          <w:rFonts w:hint="eastAsia" w:ascii="黑体" w:eastAsia="黑体"/>
          <w:color w:val="FF0000"/>
          <w:sz w:val="72"/>
          <w:szCs w:val="72"/>
        </w:rPr>
        <w:t>四川省注册税务师协会文件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715000" cy="0"/>
                <wp:effectExtent l="0" t="28575" r="0" b="285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0pt;margin-top:15.2pt;height:0pt;width:450pt;z-index:251659264;mso-width-relative:page;mso-height-relative:page;" filled="f" stroked="t" coordsize="21600,21600" o:gfxdata="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veCd1gAAAAYBAAAPAAAAAAAAAAEAIAAAACIAAABkcnMvZG93&#10;bnJldi54bWxQSwECFAAUAAAACACHTuJAEqTDsQICAAD/AwAADgAAAAAAAAABACAAAAAlAQAAZHJz&#10;L2Uyb0RvYy54bWxQSwUGAAAAAAYABgBZAQAAmQ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宋体" w:hAnsi="宋体" w:cs="宋体"/>
          <w:sz w:val="44"/>
          <w:szCs w:val="44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川税协发〔202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〕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21</w:t>
      </w:r>
      <w:bookmarkStart w:id="2" w:name="_GoBack"/>
      <w:bookmarkEnd w:id="2"/>
      <w:r>
        <w:rPr>
          <w:rFonts w:hint="eastAsia" w:ascii="仿宋" w:hAnsi="仿宋" w:eastAsia="仿宋"/>
          <w:color w:val="000000"/>
          <w:sz w:val="28"/>
          <w:szCs w:val="28"/>
        </w:rPr>
        <w:t>号</w:t>
      </w:r>
      <w:bookmarkEnd w:id="0"/>
    </w:p>
    <w:p>
      <w:pPr>
        <w:spacing w:line="500" w:lineRule="exact"/>
        <w:jc w:val="center"/>
        <w:rPr>
          <w:rFonts w:hint="eastAsia"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四川省202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度</w:t>
      </w:r>
      <w:r>
        <w:rPr>
          <w:rFonts w:hint="eastAsia" w:ascii="黑体" w:hAnsi="黑体" w:eastAsia="黑体" w:cs="黑体"/>
          <w:sz w:val="44"/>
          <w:szCs w:val="44"/>
        </w:rPr>
        <w:t>税务师行业报表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基本数据情况分析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12月31日，四川省税务师事务所（以下简称事务所）共计530家，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以收到的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508家事务所提交的行业报表数据为基础（拟注销事务所16家及经营异常事务所6家未提交数据），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将有关情况汇总分析如下：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行业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整体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情况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根据508家事务所提交的行业报表数据统计，全省从业人员5980人，其中执业税务师3219人。实现经营收入10.76亿元，利润总额0.14亿元。所均贡献度211.92万元、人均贡献度18万元、师均贡献度33.44万元。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二、事务所基本情况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（一）事务所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数量及构成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2025年度，全省事务所508家，较上年487家增加21家，增长4.31%。其</w:t>
      </w:r>
      <w:r>
        <w:rPr>
          <w:rFonts w:hint="eastAsia" w:ascii="仿宋_GB2312" w:hAnsi="仿宋_GB2312" w:eastAsia="仿宋_GB2312" w:cs="仿宋_GB2312"/>
          <w:sz w:val="32"/>
          <w:szCs w:val="32"/>
        </w:rPr>
        <w:t>中有限所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496家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异地分所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从区域分布情况来看，事务所主要集中在成都市，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403家，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79.33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；其</w:t>
      </w:r>
      <w:r>
        <w:rPr>
          <w:rFonts w:hint="eastAsia" w:ascii="仿宋_GB2312" w:hAnsi="仿宋_GB2312" w:eastAsia="仿宋_GB2312" w:cs="仿宋_GB2312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</w:rPr>
        <w:t>，分布在成都市以外的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20.67</w:t>
      </w:r>
      <w:r>
        <w:rPr>
          <w:rFonts w:hint="eastAsia" w:ascii="仿宋_GB2312" w:hAnsi="仿宋_GB2312" w:eastAsia="仿宋_GB2312" w:cs="仿宋_GB2312"/>
          <w:sz w:val="32"/>
          <w:szCs w:val="32"/>
        </w:rPr>
        <w:t>%。甘孜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</w:rPr>
        <w:t>和阿坝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</w:rPr>
        <w:t>仍无本地事务所。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全省等级事务所109家，较上年减少13家，占比21.46%。其中，AAAAA级授牌分支机构14家，较上年减少2家；AAAA级3家，较上年减少3家；AAA级3家，较上年减少4家；AA级9家，较上年减少2家；A级80家，较上年减少2家。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（二）事务所信用等级情况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全省事务所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纳税信用等级为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A级的84家、B级339家、C级2家、D级0家、M级83家。A级、B级合计占比83.27%。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事务所涉税专业服务机构信用等级为TSC5级的222家、TSC4级177家、TSC3级82家、TSC2级4家、TSC1级0家、无法查询23家。TSC5级、TSC4级合计占比78.54%。</w:t>
      </w:r>
    </w:p>
    <w:p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40" w:lineRule="exact"/>
        <w:ind w:firstLine="1205" w:firstLineChars="5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126365</wp:posOffset>
            </wp:positionV>
            <wp:extent cx="3894455" cy="2308225"/>
            <wp:effectExtent l="0" t="0" r="10795" b="15875"/>
            <wp:wrapTopAndBottom/>
            <wp:docPr id="22" name="图片 22" descr="689f38f7-990e-45c4-8343-485b0a3ab2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689f38f7-990e-45c4-8343-485b0a3ab2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4455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图-1  四川省税务师事务所纳税信用等级情况</w:t>
      </w:r>
    </w:p>
    <w:p>
      <w:pPr>
        <w:spacing w:line="640" w:lineRule="exac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spacing w:line="640" w:lineRule="exact"/>
        <w:ind w:firstLine="1205" w:firstLineChars="500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638810</wp:posOffset>
            </wp:positionH>
            <wp:positionV relativeFrom="paragraph">
              <wp:posOffset>140970</wp:posOffset>
            </wp:positionV>
            <wp:extent cx="3783330" cy="2090420"/>
            <wp:effectExtent l="0" t="0" r="7620" b="5080"/>
            <wp:wrapTopAndBottom/>
            <wp:docPr id="23" name="图片 23" descr="f3556ad3-d441-4d24-a560-39779b443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f3556ad3-d441-4d24-a560-39779b4431f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图-2  四川省税务师事务所涉税专业服务机构信用等级情况</w:t>
      </w:r>
    </w:p>
    <w:p>
      <w:pPr>
        <w:spacing w:line="64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64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）从业人员基本情况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全省税务师行业从业人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5980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1.89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执业税务师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3219人，同比下降2.69%，执业税务师人数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53.83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1.性别结构。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从业人员中，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3954人，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；执业税务师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女性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1940人，占比60.27%。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2.学历结构。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业人员中，大专以下学历217人，占比3.63%；大专学历2156人，占比36.05%；本科学历3387人，占比56.64；研究生及以上学历220人，占比3.68%。执业税务师中，大专以下学历23人，占比0.71%；大专学历968人，占比30.07%；本科学历2069人，占比64.28；研究生及以上学历159人，占比4.94%。行业从业人员学历层次正向高学历人员集聚，本科及研究生学历合计分别占比从业人员、执业税务师人数的60.32%、69.22%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3.年龄结构。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从业人员中，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35岁以下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2049人，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占比34.26%</w:t>
      </w:r>
      <w:r>
        <w:rPr>
          <w:rFonts w:hint="eastAsia" w:ascii="仿宋_GB2312" w:hAnsi="仿宋_GB2312" w:eastAsia="仿宋_GB2312" w:cs="仿宋_GB2312"/>
          <w:sz w:val="32"/>
          <w:szCs w:val="32"/>
        </w:rPr>
        <w:t>；36岁-50岁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2420人，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占比4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岁-60岁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1272人，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21.27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岁以上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239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执业税务师中，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35岁以下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539人，占比16.74%</w:t>
      </w:r>
      <w:r>
        <w:rPr>
          <w:rFonts w:hint="eastAsia" w:ascii="仿宋_GB2312" w:hAnsi="仿宋_GB2312" w:eastAsia="仿宋_GB2312" w:cs="仿宋_GB2312"/>
          <w:sz w:val="32"/>
          <w:szCs w:val="32"/>
        </w:rPr>
        <w:t>；36岁-50岁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1602人，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49.77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岁-60岁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931人，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28.92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岁以上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。行业从业人员以中青年为主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，50岁以下人数分别占比从业人员、执业税务师人数的74.73%、66.51%。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241" w:firstLineChars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图-3  从业人员学历结构                  图-4  执业税务师学历结构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18415</wp:posOffset>
            </wp:positionV>
            <wp:extent cx="2332355" cy="1790700"/>
            <wp:effectExtent l="0" t="0" r="10795" b="0"/>
            <wp:wrapTopAndBottom/>
            <wp:docPr id="27" name="图片 27" descr="ce7b75ed-9b9a-4074-9197-c9bb97609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e7b75ed-9b9a-4074-9197-c9bb97609c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62230</wp:posOffset>
            </wp:positionV>
            <wp:extent cx="2382520" cy="1798955"/>
            <wp:effectExtent l="0" t="0" r="17780" b="10795"/>
            <wp:wrapTopAndBottom/>
            <wp:docPr id="24" name="图片 24" descr="e62c3604-97af-44f2-bde1-877cd3797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e62c3604-97af-44f2-bde1-877cd3797f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600" w:lineRule="exact"/>
        <w:ind w:firstLine="241" w:firstLineChars="100"/>
        <w:rPr>
          <w:rFonts w:hint="default" w:ascii="仿宋_GB2312" w:hAnsi="仿宋_GB2312" w:eastAsia="仿宋_GB2312" w:cs="仿宋_GB2312"/>
          <w:b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246380</wp:posOffset>
            </wp:positionV>
            <wp:extent cx="2184400" cy="1798320"/>
            <wp:effectExtent l="0" t="0" r="6350" b="11430"/>
            <wp:wrapTopAndBottom/>
            <wp:docPr id="29" name="图片 29" descr="5388992c-01ec-4512-8e73-01df13663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5388992c-01ec-4512-8e73-01df136634a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282575</wp:posOffset>
            </wp:positionV>
            <wp:extent cx="2263775" cy="1811020"/>
            <wp:effectExtent l="0" t="0" r="3175" b="17780"/>
            <wp:wrapTopAndBottom/>
            <wp:docPr id="28" name="图片 28" descr="c2adb7dd-db55-4e69-80d1-7ec4d8c2f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2adb7dd-db55-4e69-80d1-7ec4d8c2f7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图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-5  从业人员年龄结构                  图-6  执业税务师年龄结构</w:t>
      </w:r>
    </w:p>
    <w:p>
      <w:pPr>
        <w:spacing w:before="156" w:beforeLines="50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spacing w:before="156" w:beforeLines="50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、行业经营情况</w:t>
      </w:r>
    </w:p>
    <w:p>
      <w:pPr>
        <w:spacing w:line="640" w:lineRule="exact"/>
        <w:ind w:left="561" w:leftChars="267" w:firstLine="6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（一）收入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总额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全省税务师行业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10.76亿元，较上年13.48亿元减少2.72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减少幅度20.18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，连续两年呈现较大幅度下降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。其中主营业务收入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10.35亿元，较上年13.09亿元减少2.74亿元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减少幅度20.93%；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0.41亿元，较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0.39亿元增加0.02亿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增长幅度5.13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spacing w:line="640" w:lineRule="exact"/>
        <w:ind w:left="561" w:leftChars="267" w:firstLine="6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（二）主营业务收入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主营业务收入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10.35亿元，占比收入总额96.19%。其中，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纳税申报代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0.59亿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5.70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，同比减少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4.84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一般税务咨询3.03亿元，占比29.27%，同比减少17.44%；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专业税务顾问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1.97亿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19.03%，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减少29.39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务合规计划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0.17亿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1.64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，同比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29.17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涉税鉴证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3.44亿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33.24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减少17.31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纳税情况审查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0.13亿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减少7.14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其他税务事项代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0.54亿元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5.22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减少34.15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其他税务代理0.48亿元，占比4.64%，同比减少26.15%。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减少主要集中在专业税务顾问、涉税鉴证和一般税务咨询，分别减少0.82亿元、0.72亿元、0.64亿元。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专业税务顾问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为减少绝对值最大业务，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涉税鉴证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减少绝对值也较大，但仍是占比最高业务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723" w:firstLineChars="300"/>
        <w:rPr>
          <w:rFonts w:hint="default" w:ascii="仿宋_GB2312" w:hAnsi="仿宋_GB2312" w:eastAsia="仿宋_GB2312" w:cs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140970</wp:posOffset>
            </wp:positionV>
            <wp:extent cx="4305300" cy="2581275"/>
            <wp:effectExtent l="0" t="0" r="0" b="9525"/>
            <wp:wrapTopAndBottom/>
            <wp:docPr id="30" name="图片 30" descr="3b7de060-0891-49d2-9b5a-22475a1f8b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3b7de060-0891-49d2-9b5a-22475a1f8ba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图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-7  2024年、2025年四川省税务师行业主营业务收入情况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ind w:firstLine="643" w:firstLineChars="200"/>
        <w:textAlignment w:val="bottom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  <w:t>经营利润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全省事务所利润总额合计1439.32万元，同比减少59.08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，连续两年大幅减少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508家事务所中，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有经营利润的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298家，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58.66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；无经营利润和亏损的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210家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41.34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spacing w:line="640" w:lineRule="exact"/>
        <w:ind w:left="561" w:leftChars="267" w:firstLine="6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收入规模分布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亿元事务所，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较上年减少亿元事务所2家。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事务所经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营收入5000万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（含）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（含）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-5000万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元19家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500万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（含）</w:t>
      </w:r>
      <w:r>
        <w:rPr>
          <w:rFonts w:hint="eastAsia" w:ascii="仿宋_GB2312" w:hAnsi="仿宋_GB2312" w:eastAsia="仿宋_GB2312" w:cs="仿宋_GB2312"/>
          <w:sz w:val="32"/>
          <w:szCs w:val="32"/>
        </w:rPr>
        <w:t>-1000万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元18家，100万元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（含）-500万元175家，100万元以下294家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500万元是事务所经营收入的一个分界点，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营收入500万元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的事务所合计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，占比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7.68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5.94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55.2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；经营收入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500万元以下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事务所合计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469家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，占比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92.32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44.8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spacing w:line="600" w:lineRule="exact"/>
        <w:ind w:firstLine="6720" w:firstLineChars="21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单位：家、亿元</w:t>
      </w:r>
    </w:p>
    <w:tbl>
      <w:tblPr>
        <w:tblStyle w:val="4"/>
        <w:tblW w:w="8805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215"/>
        <w:gridCol w:w="1215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收入规模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2024年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2025年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收入同比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收入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收入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5000万元（含）以上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2.96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1.15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-61.15%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1000万元（含）-5000万元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4.05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3.50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-13.58%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500万元（含）-1000万元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1.72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1.29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100万元（含）-500万元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166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3.75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175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3.71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-1.07%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100万元以下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276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294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1.11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11%</w:t>
            </w:r>
          </w:p>
        </w:tc>
      </w:tr>
    </w:tbl>
    <w:p>
      <w:pPr>
        <w:spacing w:line="600" w:lineRule="exact"/>
        <w:ind w:firstLine="1446" w:firstLineChars="6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表-1  2024年、2025年四川省税务师事务所收入规模分布</w:t>
      </w:r>
    </w:p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地区收入差异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各地区经营收入差异较大，主要集中在省会成都市。成都市事务所收入合计8.87亿元，占比82.43%，同比下降2.36个百分比。经营收入总额排名前三的地区是成都市、绵阳市、德阳市，分别为8.87亿元、0.44亿元、0.28亿元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服务企业户数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全省事务所有偿服务企业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44214户，</w:t>
      </w:r>
      <w:r>
        <w:rPr>
          <w:rFonts w:hint="eastAsia" w:ascii="仿宋_GB2312" w:hAnsi="仿宋_GB2312" w:eastAsia="仿宋_GB2312" w:cs="仿宋_GB2312"/>
          <w:sz w:val="32"/>
          <w:szCs w:val="32"/>
        </w:rPr>
        <w:t>较上年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增加1312户，增长3.06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%。其中有偿服务小微企业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31491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上市公司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328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2395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户。参与税收公益活动涉及企业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16258</w:t>
      </w:r>
      <w:r>
        <w:rPr>
          <w:rFonts w:hint="eastAsia" w:ascii="仿宋_GB2312" w:hAnsi="仿宋_GB2312" w:eastAsia="仿宋_GB2312" w:cs="仿宋_GB2312"/>
          <w:sz w:val="32"/>
          <w:szCs w:val="32"/>
        </w:rPr>
        <w:t>户，涉及企业人数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89928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spacing w:line="64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）贡献度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全省事务所所均贡献度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23.46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%；人均贡献度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18.63</w:t>
      </w:r>
      <w:r>
        <w:rPr>
          <w:rFonts w:hint="eastAsia" w:ascii="仿宋_GB2312" w:hAnsi="仿宋_GB2312" w:eastAsia="仿宋_GB2312" w:cs="仿宋_GB2312"/>
          <w:sz w:val="32"/>
          <w:szCs w:val="32"/>
        </w:rPr>
        <w:t>%；师均贡献度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17.96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收入在所均贡献度以上的事务所有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110家，占比21.65%。</w:t>
      </w:r>
    </w:p>
    <w:p>
      <w:pPr>
        <w:spacing w:line="640" w:lineRule="exact"/>
        <w:ind w:firstLine="7040" w:firstLineChars="2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单位：万元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293"/>
        <w:gridCol w:w="2294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eastAsia="zh-CN"/>
              </w:rPr>
              <w:t>目</w:t>
            </w:r>
          </w:p>
        </w:tc>
        <w:tc>
          <w:tcPr>
            <w:tcW w:w="2293" w:type="dxa"/>
          </w:tcPr>
          <w:p>
            <w:pPr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2023年</w:t>
            </w:r>
          </w:p>
        </w:tc>
        <w:tc>
          <w:tcPr>
            <w:tcW w:w="2294" w:type="dxa"/>
          </w:tcPr>
          <w:p>
            <w:pPr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</w:tc>
        <w:tc>
          <w:tcPr>
            <w:tcW w:w="2294" w:type="dxa"/>
          </w:tcPr>
          <w:p>
            <w:pPr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所均贡献度</w:t>
            </w:r>
          </w:p>
        </w:tc>
        <w:tc>
          <w:tcPr>
            <w:tcW w:w="22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347.16</w:t>
            </w:r>
          </w:p>
        </w:tc>
        <w:tc>
          <w:tcPr>
            <w:tcW w:w="2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276.88</w:t>
            </w:r>
          </w:p>
        </w:tc>
        <w:tc>
          <w:tcPr>
            <w:tcW w:w="2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211.92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人均贡献度</w:t>
            </w:r>
          </w:p>
        </w:tc>
        <w:tc>
          <w:tcPr>
            <w:tcW w:w="22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25.7</w:t>
            </w:r>
          </w:p>
        </w:tc>
        <w:tc>
          <w:tcPr>
            <w:tcW w:w="2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22.12</w:t>
            </w:r>
          </w:p>
        </w:tc>
        <w:tc>
          <w:tcPr>
            <w:tcW w:w="2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师均贡献度</w:t>
            </w:r>
          </w:p>
        </w:tc>
        <w:tc>
          <w:tcPr>
            <w:tcW w:w="22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48.66</w:t>
            </w:r>
          </w:p>
        </w:tc>
        <w:tc>
          <w:tcPr>
            <w:tcW w:w="2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40.76</w:t>
            </w:r>
          </w:p>
        </w:tc>
        <w:tc>
          <w:tcPr>
            <w:tcW w:w="22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33.44</w:t>
            </w:r>
          </w:p>
        </w:tc>
      </w:tr>
    </w:tbl>
    <w:p>
      <w:pPr>
        <w:spacing w:line="600" w:lineRule="exact"/>
        <w:ind w:firstLine="482" w:firstLineChars="20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2  四川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省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税务师事务所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所均、人均、师均贡献度（202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3年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）</w:t>
      </w:r>
    </w:p>
    <w:p>
      <w:pPr>
        <w:spacing w:line="64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spacing w:line="640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八）行业集中度</w:t>
      </w:r>
    </w:p>
    <w:p>
      <w:pPr>
        <w:spacing w:line="600" w:lineRule="exac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2025年全省行业经营收入CR5为20.82%，同比下降7.33个百分点，行业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处于低集中竞争市场环境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四川省注册税务师协会</w:t>
      </w:r>
    </w:p>
    <w:p>
      <w:pPr>
        <w:spacing w:line="540" w:lineRule="exact"/>
        <w:ind w:firstLine="5280" w:firstLineChars="16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304" w:right="1474" w:bottom="1418" w:left="1474" w:header="99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1A909"/>
    <w:multiLevelType w:val="singleLevel"/>
    <w:tmpl w:val="9BE1A9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C5C20"/>
    <w:rsid w:val="00F74A57"/>
    <w:rsid w:val="014A3E6D"/>
    <w:rsid w:val="01897BB4"/>
    <w:rsid w:val="022D6197"/>
    <w:rsid w:val="03C52BEB"/>
    <w:rsid w:val="04704444"/>
    <w:rsid w:val="04A5481F"/>
    <w:rsid w:val="04CD7FA9"/>
    <w:rsid w:val="05F02AD6"/>
    <w:rsid w:val="07925E44"/>
    <w:rsid w:val="07A1396F"/>
    <w:rsid w:val="08FA1588"/>
    <w:rsid w:val="09AF7805"/>
    <w:rsid w:val="0A1569B2"/>
    <w:rsid w:val="0A7E3AF3"/>
    <w:rsid w:val="0A902334"/>
    <w:rsid w:val="0AB42798"/>
    <w:rsid w:val="0B6527A1"/>
    <w:rsid w:val="0B786794"/>
    <w:rsid w:val="0BA37CB5"/>
    <w:rsid w:val="103609BA"/>
    <w:rsid w:val="110B3A77"/>
    <w:rsid w:val="122A4C8C"/>
    <w:rsid w:val="128526CB"/>
    <w:rsid w:val="12BC2DDE"/>
    <w:rsid w:val="12F54EB2"/>
    <w:rsid w:val="135B12F0"/>
    <w:rsid w:val="13D73C77"/>
    <w:rsid w:val="14D746CC"/>
    <w:rsid w:val="1A7D5934"/>
    <w:rsid w:val="1A9165C6"/>
    <w:rsid w:val="1B0C326C"/>
    <w:rsid w:val="1BD54EA4"/>
    <w:rsid w:val="1C9A2E17"/>
    <w:rsid w:val="1CC965C4"/>
    <w:rsid w:val="1D2A4A61"/>
    <w:rsid w:val="1D3A1AFC"/>
    <w:rsid w:val="1E1F1D09"/>
    <w:rsid w:val="1F036180"/>
    <w:rsid w:val="201605FE"/>
    <w:rsid w:val="202A39D1"/>
    <w:rsid w:val="20825C93"/>
    <w:rsid w:val="22284619"/>
    <w:rsid w:val="241C63FF"/>
    <w:rsid w:val="279364A1"/>
    <w:rsid w:val="27BF77CD"/>
    <w:rsid w:val="27D059C2"/>
    <w:rsid w:val="285C3898"/>
    <w:rsid w:val="28876C3B"/>
    <w:rsid w:val="291B2FE5"/>
    <w:rsid w:val="294A6A7D"/>
    <w:rsid w:val="29EF79EA"/>
    <w:rsid w:val="2C845BFF"/>
    <w:rsid w:val="2CAC7FD1"/>
    <w:rsid w:val="2D550B16"/>
    <w:rsid w:val="2F812C02"/>
    <w:rsid w:val="30481C22"/>
    <w:rsid w:val="308D3E02"/>
    <w:rsid w:val="31093867"/>
    <w:rsid w:val="31CA09D9"/>
    <w:rsid w:val="326B1274"/>
    <w:rsid w:val="32A44EFF"/>
    <w:rsid w:val="339B7842"/>
    <w:rsid w:val="34580D8D"/>
    <w:rsid w:val="347A6C5D"/>
    <w:rsid w:val="348E47AF"/>
    <w:rsid w:val="35235377"/>
    <w:rsid w:val="35753BC1"/>
    <w:rsid w:val="3655642F"/>
    <w:rsid w:val="36606787"/>
    <w:rsid w:val="36BD67B0"/>
    <w:rsid w:val="37137295"/>
    <w:rsid w:val="3A78256F"/>
    <w:rsid w:val="3B1E5DAE"/>
    <w:rsid w:val="3B5829A2"/>
    <w:rsid w:val="3B5B364D"/>
    <w:rsid w:val="3B6C5C20"/>
    <w:rsid w:val="3CEF368A"/>
    <w:rsid w:val="3DA212CB"/>
    <w:rsid w:val="3DF4793C"/>
    <w:rsid w:val="41B960F8"/>
    <w:rsid w:val="437F7CA9"/>
    <w:rsid w:val="455543EF"/>
    <w:rsid w:val="46F15E80"/>
    <w:rsid w:val="482A22EF"/>
    <w:rsid w:val="49F11025"/>
    <w:rsid w:val="4B6066E6"/>
    <w:rsid w:val="4B9F730A"/>
    <w:rsid w:val="4C890880"/>
    <w:rsid w:val="4CEB4D69"/>
    <w:rsid w:val="4D453EBF"/>
    <w:rsid w:val="4DC33F77"/>
    <w:rsid w:val="4DDB1FDD"/>
    <w:rsid w:val="4E1F6F37"/>
    <w:rsid w:val="4F043B94"/>
    <w:rsid w:val="4F5D1DB8"/>
    <w:rsid w:val="527829CF"/>
    <w:rsid w:val="52EA12F3"/>
    <w:rsid w:val="54E30950"/>
    <w:rsid w:val="55531092"/>
    <w:rsid w:val="55DD5EA6"/>
    <w:rsid w:val="561A7309"/>
    <w:rsid w:val="57AA2075"/>
    <w:rsid w:val="57E2692F"/>
    <w:rsid w:val="5BC626E7"/>
    <w:rsid w:val="5C4A73DA"/>
    <w:rsid w:val="5DDA0E94"/>
    <w:rsid w:val="5FEF619A"/>
    <w:rsid w:val="60055330"/>
    <w:rsid w:val="60B908A1"/>
    <w:rsid w:val="62291830"/>
    <w:rsid w:val="637F7835"/>
    <w:rsid w:val="6449399F"/>
    <w:rsid w:val="66177AD5"/>
    <w:rsid w:val="662C6A60"/>
    <w:rsid w:val="666714BE"/>
    <w:rsid w:val="6B1940CB"/>
    <w:rsid w:val="6B1D0CAB"/>
    <w:rsid w:val="6B2313EE"/>
    <w:rsid w:val="6D6E744A"/>
    <w:rsid w:val="6E9D3265"/>
    <w:rsid w:val="6EBA7973"/>
    <w:rsid w:val="6F7D50FF"/>
    <w:rsid w:val="716444A5"/>
    <w:rsid w:val="716E69D1"/>
    <w:rsid w:val="71B73E95"/>
    <w:rsid w:val="72023E5B"/>
    <w:rsid w:val="73504D4A"/>
    <w:rsid w:val="74FD40B3"/>
    <w:rsid w:val="75EB2B08"/>
    <w:rsid w:val="76C577FD"/>
    <w:rsid w:val="79392CFA"/>
    <w:rsid w:val="7A9A336B"/>
    <w:rsid w:val="7B2A2C5E"/>
    <w:rsid w:val="7BA87BF4"/>
    <w:rsid w:val="7C18424F"/>
    <w:rsid w:val="7C321491"/>
    <w:rsid w:val="7D8E0738"/>
    <w:rsid w:val="7DC34E64"/>
    <w:rsid w:val="7E482AA0"/>
    <w:rsid w:val="7EC432BF"/>
    <w:rsid w:val="7F6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default" w:ascii="仿宋_GB2312" w:eastAsia="仿宋_GB2312" w:cs="仿宋_GB2312"/>
      <w:b/>
      <w:bCs/>
      <w:color w:val="FFFFFF"/>
      <w:sz w:val="32"/>
      <w:szCs w:val="3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bCs/>
      <w:color w:val="FFFFFF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2026-04-20T02:25:00Z</dcterms:created>
  <dc:creator>书雨</dc:creator>
  <cp:lastModifiedBy>书雨</cp:lastModifiedBy>
  <cp:lastPrinted>2026-05-14T03:22:00Z</cp:lastPrinted>
  <dcterms:modified xsi:type="dcterms:W3CDTF">2026-05-15T09:52:14Z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471C4825C5D341AF9D23BA9CAFFF4782</vt:lpwstr>
  </property>
</Properties>
</file>